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1F" w:rsidRDefault="004D6C0C">
      <w:pPr>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REQUIREMENTS FOR SCIENTIFIC ARTICLE IN</w:t>
      </w:r>
    </w:p>
    <w:p w:rsidR="002E261F" w:rsidRDefault="004D6C0C">
      <w:pPr>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ELECTRONIC SCIENTIFIC AND PRACTICAL JOURNAL</w:t>
      </w:r>
    </w:p>
    <w:p w:rsidR="002E261F" w:rsidRDefault="004D6C0C">
      <w:pPr>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INTELLECTUALIZATION OF LOFISTICS AND SUPPLY CHAIN MANAGEMENT"</w:t>
      </w:r>
    </w:p>
    <w:p w:rsidR="002E261F" w:rsidRDefault="002E261F">
      <w:pPr>
        <w:shd w:val="clear" w:color="auto" w:fill="FFFFFF"/>
        <w:spacing w:after="0" w:line="360" w:lineRule="auto"/>
        <w:jc w:val="center"/>
        <w:rPr>
          <w:rFonts w:ascii="Times New Roman" w:eastAsia="Times New Roman" w:hAnsi="Times New Roman" w:cs="Times New Roman"/>
          <w:b/>
          <w:color w:val="000000"/>
          <w:sz w:val="28"/>
          <w:szCs w:val="28"/>
        </w:rPr>
      </w:pPr>
    </w:p>
    <w:p w:rsidR="002E261F" w:rsidRDefault="004D6C0C">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Only original articles made at the current methodological and technological level are accepted for publication in the collection, in compliance with the publishing policy of the collection and the recommendations of the Committee on Publication Ethics.</w:t>
      </w:r>
    </w:p>
    <w:p w:rsidR="002E261F" w:rsidRDefault="002E261F">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2E261F" w:rsidRDefault="004D6C0C">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w:t>
      </w:r>
      <w:r>
        <w:rPr>
          <w:rFonts w:ascii="Times New Roman" w:eastAsia="Times New Roman" w:hAnsi="Times New Roman" w:cs="Times New Roman"/>
          <w:color w:val="000000"/>
          <w:sz w:val="28"/>
          <w:szCs w:val="28"/>
        </w:rPr>
        <w:t>e article should be written in English and Ukrainian.</w:t>
      </w:r>
    </w:p>
    <w:p w:rsidR="002E261F" w:rsidRDefault="004D6C0C">
      <w:pPr>
        <w:numPr>
          <w:ilvl w:val="0"/>
          <w:numId w:val="2"/>
        </w:numPr>
        <w:shd w:val="clear" w:color="auto" w:fill="FFFFFF"/>
        <w:spacing w:after="0" w:line="360" w:lineRule="auto"/>
        <w:jc w:val="both"/>
        <w:rPr>
          <w:color w:val="000000"/>
        </w:rPr>
      </w:pPr>
      <w:r>
        <w:rPr>
          <w:rFonts w:ascii="Times New Roman" w:eastAsia="Times New Roman" w:hAnsi="Times New Roman" w:cs="Times New Roman"/>
          <w:color w:val="000000"/>
          <w:sz w:val="28"/>
          <w:szCs w:val="28"/>
        </w:rPr>
        <w:t>The recommended total volume of the article is 8-15 letters.</w:t>
      </w:r>
    </w:p>
    <w:p w:rsidR="002E261F" w:rsidRDefault="004D6C0C">
      <w:pPr>
        <w:numPr>
          <w:ilvl w:val="0"/>
          <w:numId w:val="2"/>
        </w:numPr>
        <w:shd w:val="clear" w:color="auto" w:fill="FFFFFF"/>
        <w:spacing w:after="0" w:line="360" w:lineRule="auto"/>
        <w:jc w:val="both"/>
        <w:rPr>
          <w:color w:val="000000"/>
        </w:rPr>
      </w:pPr>
      <w:r>
        <w:rPr>
          <w:rFonts w:ascii="Times New Roman" w:eastAsia="Times New Roman" w:hAnsi="Times New Roman" w:cs="Times New Roman"/>
          <w:color w:val="000000"/>
          <w:sz w:val="28"/>
          <w:szCs w:val="28"/>
        </w:rPr>
        <w:t>The structure of an article should consist of the following elements (Example 1):</w:t>
      </w:r>
    </w:p>
    <w:p w:rsidR="002E261F" w:rsidRDefault="004D6C0C">
      <w:pPr>
        <w:numPr>
          <w:ilvl w:val="0"/>
          <w:numId w:val="3"/>
        </w:numPr>
        <w:pBdr>
          <w:top w:val="nil"/>
          <w:left w:val="nil"/>
          <w:bottom w:val="nil"/>
          <w:right w:val="nil"/>
          <w:between w:val="nil"/>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t>UDC Index;</w:t>
      </w:r>
    </w:p>
    <w:p w:rsidR="002E261F" w:rsidRDefault="004D6C0C">
      <w:pPr>
        <w:numPr>
          <w:ilvl w:val="0"/>
          <w:numId w:val="3"/>
        </w:numPr>
        <w:pBdr>
          <w:top w:val="nil"/>
          <w:left w:val="nil"/>
          <w:bottom w:val="nil"/>
          <w:right w:val="nil"/>
          <w:between w:val="nil"/>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t>code of the JEL classifier;</w:t>
      </w:r>
    </w:p>
    <w:p w:rsidR="002E261F" w:rsidRDefault="004D6C0C">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information about th</w:t>
      </w:r>
      <w:r>
        <w:rPr>
          <w:rFonts w:ascii="Times New Roman" w:eastAsia="Times New Roman" w:hAnsi="Times New Roman" w:cs="Times New Roman"/>
          <w:color w:val="000000"/>
          <w:sz w:val="28"/>
          <w:szCs w:val="28"/>
        </w:rPr>
        <w:t>e authors: first and last name, place of work, academic degree, academic title, ORCID, ResearcherID, Scopus author ID and e-mail of the authors);</w:t>
      </w:r>
    </w:p>
    <w:p w:rsidR="002E261F" w:rsidRDefault="004D6C0C">
      <w:pPr>
        <w:numPr>
          <w:ilvl w:val="0"/>
          <w:numId w:val="3"/>
        </w:numPr>
        <w:pBdr>
          <w:top w:val="nil"/>
          <w:left w:val="nil"/>
          <w:bottom w:val="nil"/>
          <w:right w:val="nil"/>
          <w:between w:val="nil"/>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t>the main text of the article.</w:t>
      </w:r>
    </w:p>
    <w:p w:rsidR="002E261F" w:rsidRDefault="002E261F">
      <w:pPr>
        <w:pBdr>
          <w:top w:val="nil"/>
          <w:left w:val="nil"/>
          <w:bottom w:val="nil"/>
          <w:right w:val="nil"/>
          <w:between w:val="nil"/>
        </w:pBdr>
        <w:shd w:val="clear" w:color="auto" w:fill="FFFFFF"/>
        <w:spacing w:after="0" w:line="360" w:lineRule="auto"/>
        <w:ind w:left="1080"/>
        <w:jc w:val="both"/>
        <w:rPr>
          <w:color w:val="000000"/>
          <w:sz w:val="28"/>
          <w:szCs w:val="28"/>
        </w:rPr>
      </w:pPr>
    </w:p>
    <w:p w:rsidR="002E261F" w:rsidRDefault="004D6C0C">
      <w:pPr>
        <w:pStyle w:val="2"/>
        <w:shd w:val="clear" w:color="auto" w:fill="FFFFFF"/>
        <w:spacing w:before="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Contentrequirementsandtechnicalrequirements</w:t>
      </w:r>
    </w:p>
    <w:p w:rsidR="002E261F" w:rsidRDefault="004D6C0C">
      <w:pPr>
        <w:numPr>
          <w:ilvl w:val="0"/>
          <w:numId w:val="2"/>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Article title </w:t>
      </w:r>
      <w:r>
        <w:rPr>
          <w:rFonts w:ascii="Times New Roman" w:eastAsia="Times New Roman" w:hAnsi="Times New Roman" w:cs="Times New Roman"/>
          <w:color w:val="000000"/>
          <w:sz w:val="28"/>
          <w:szCs w:val="28"/>
        </w:rPr>
        <w:t>in capital letters (Times New Roman, 14, bold).</w:t>
      </w:r>
    </w:p>
    <w:p w:rsidR="002E261F" w:rsidRDefault="004D6C0C">
      <w:pPr>
        <w:numPr>
          <w:ilvl w:val="0"/>
          <w:numId w:val="2"/>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Author's full name (name and surname) and </w:t>
      </w:r>
      <w:r>
        <w:rPr>
          <w:rFonts w:ascii="Times New Roman" w:eastAsia="Times New Roman" w:hAnsi="Times New Roman" w:cs="Times New Roman"/>
          <w:b/>
          <w:color w:val="000000"/>
          <w:sz w:val="28"/>
          <w:szCs w:val="28"/>
        </w:rPr>
        <w:t>ORCID ID, ResearcherID, Scopus author ID</w:t>
      </w:r>
      <w:r>
        <w:rPr>
          <w:rFonts w:ascii="Times New Roman" w:eastAsia="Times New Roman" w:hAnsi="Times New Roman" w:cs="Times New Roman"/>
          <w:color w:val="000000"/>
          <w:sz w:val="28"/>
          <w:szCs w:val="28"/>
        </w:rPr>
        <w:t xml:space="preserve"> (Times New Roman, 14, bold).</w:t>
      </w:r>
    </w:p>
    <w:p w:rsidR="002E261F" w:rsidRDefault="004D6C0C">
      <w:pPr>
        <w:numPr>
          <w:ilvl w:val="0"/>
          <w:numId w:val="2"/>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Organization’s title (Full) (Times New Roman, 14).</w:t>
      </w:r>
    </w:p>
    <w:p w:rsidR="002E261F" w:rsidRDefault="004D6C0C">
      <w:pPr>
        <w:numPr>
          <w:ilvl w:val="0"/>
          <w:numId w:val="2"/>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Contact email of the authors of the article (</w:t>
      </w:r>
      <w:r>
        <w:rPr>
          <w:rFonts w:ascii="Times New Roman" w:eastAsia="Times New Roman" w:hAnsi="Times New Roman" w:cs="Times New Roman"/>
          <w:color w:val="000000"/>
          <w:sz w:val="28"/>
          <w:szCs w:val="28"/>
        </w:rPr>
        <w:t>Times New Roman, 14).</w:t>
      </w:r>
    </w:p>
    <w:p w:rsidR="002E261F" w:rsidRDefault="004D6C0C">
      <w:pPr>
        <w:numPr>
          <w:ilvl w:val="0"/>
          <w:numId w:val="2"/>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UDC</w:t>
      </w:r>
      <w:r>
        <w:rPr>
          <w:rFonts w:ascii="Times New Roman" w:eastAsia="Times New Roman" w:hAnsi="Times New Roman" w:cs="Times New Roman"/>
          <w:color w:val="000000"/>
          <w:sz w:val="28"/>
          <w:szCs w:val="28"/>
        </w:rPr>
        <w:t xml:space="preserve"> (Times New Roman Index, 14). http://www.udcsummary.info/php/index.php?id=18549&amp;lang=en</w:t>
      </w:r>
    </w:p>
    <w:p w:rsidR="002E261F" w:rsidRDefault="004D6C0C">
      <w:pPr>
        <w:numPr>
          <w:ilvl w:val="0"/>
          <w:numId w:val="2"/>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An abstract</w:t>
      </w:r>
      <w:r>
        <w:rPr>
          <w:rFonts w:ascii="Times New Roman" w:eastAsia="Times New Roman" w:hAnsi="Times New Roman" w:cs="Times New Roman"/>
          <w:color w:val="000000"/>
          <w:sz w:val="28"/>
          <w:szCs w:val="28"/>
        </w:rPr>
        <w:t xml:space="preserve"> (author's summary) without the word "Abstract" (Times New Roman, 12) is available in </w:t>
      </w:r>
      <w:r>
        <w:rPr>
          <w:rFonts w:ascii="Times New Roman" w:eastAsia="Times New Roman" w:hAnsi="Times New Roman" w:cs="Times New Roman"/>
          <w:b/>
          <w:color w:val="000000"/>
          <w:sz w:val="28"/>
          <w:szCs w:val="28"/>
        </w:rPr>
        <w:t>three languages</w:t>
      </w:r>
      <w:r>
        <w:rPr>
          <w:rFonts w:ascii="Times New Roman" w:eastAsia="Times New Roman" w:hAnsi="Times New Roman" w:cs="Times New Roman"/>
          <w:color w:val="000000"/>
          <w:sz w:val="28"/>
          <w:szCs w:val="28"/>
        </w:rPr>
        <w:t xml:space="preserve"> ​​- Ukrainian, English, Russi</w:t>
      </w:r>
      <w:r>
        <w:rPr>
          <w:rFonts w:ascii="Times New Roman" w:eastAsia="Times New Roman" w:hAnsi="Times New Roman" w:cs="Times New Roman"/>
          <w:color w:val="000000"/>
          <w:sz w:val="28"/>
          <w:szCs w:val="28"/>
        </w:rPr>
        <w:t xml:space="preserve">an. The abstract contains the names and initials of the authors (bold courses), the name of the article in quotation marks (bold courses), the text of the abstract. Annotation volume must be at least 1800 characters (without spaces), in English </w:t>
      </w:r>
      <w:r>
        <w:rPr>
          <w:rFonts w:ascii="Times New Roman" w:eastAsia="Times New Roman" w:hAnsi="Times New Roman" w:cs="Times New Roman"/>
          <w:b/>
          <w:color w:val="000000"/>
          <w:sz w:val="28"/>
          <w:szCs w:val="28"/>
        </w:rPr>
        <w:t>at least 2.</w:t>
      </w:r>
      <w:r>
        <w:rPr>
          <w:rFonts w:ascii="Times New Roman" w:eastAsia="Times New Roman" w:hAnsi="Times New Roman" w:cs="Times New Roman"/>
          <w:b/>
          <w:color w:val="000000"/>
          <w:sz w:val="28"/>
          <w:szCs w:val="28"/>
        </w:rPr>
        <w:t>5 thousand characters</w:t>
      </w:r>
      <w:r>
        <w:rPr>
          <w:rFonts w:ascii="Times New Roman" w:eastAsia="Times New Roman" w:hAnsi="Times New Roman" w:cs="Times New Roman"/>
          <w:color w:val="000000"/>
          <w:sz w:val="28"/>
          <w:szCs w:val="28"/>
        </w:rPr>
        <w:t xml:space="preserve"> (without spaces). The structure of the abstract implies the presence of the object of study and a brief author's interpretation of the results.</w:t>
      </w:r>
    </w:p>
    <w:p w:rsidR="002E261F" w:rsidRDefault="004D6C0C">
      <w:pPr>
        <w:numPr>
          <w:ilvl w:val="0"/>
          <w:numId w:val="2"/>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Keywords</w:t>
      </w:r>
      <w:r>
        <w:rPr>
          <w:rFonts w:ascii="Times New Roman" w:eastAsia="Times New Roman" w:hAnsi="Times New Roman" w:cs="Times New Roman"/>
          <w:color w:val="000000"/>
          <w:sz w:val="28"/>
          <w:szCs w:val="28"/>
        </w:rPr>
        <w:t xml:space="preserve"> (bold italic) - 10-12 words with semicolons in two languages ​​- Ukrainian, Engli</w:t>
      </w:r>
      <w:r>
        <w:rPr>
          <w:rFonts w:ascii="Times New Roman" w:eastAsia="Times New Roman" w:hAnsi="Times New Roman" w:cs="Times New Roman"/>
          <w:color w:val="000000"/>
          <w:sz w:val="28"/>
          <w:szCs w:val="28"/>
        </w:rPr>
        <w:t>sh.</w:t>
      </w:r>
    </w:p>
    <w:p w:rsidR="002E261F" w:rsidRDefault="004D6C0C">
      <w:pPr>
        <w:numPr>
          <w:ilvl w:val="0"/>
          <w:numId w:val="2"/>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JEL Classification</w:t>
      </w:r>
      <w:r>
        <w:rPr>
          <w:rFonts w:ascii="Times New Roman" w:eastAsia="Times New Roman" w:hAnsi="Times New Roman" w:cs="Times New Roman"/>
          <w:color w:val="000000"/>
          <w:sz w:val="28"/>
          <w:szCs w:val="28"/>
        </w:rPr>
        <w:t xml:space="preserve"> - 3 to 5 codes in one line. For example: JEL Classification: C12; C14; C18). https://www.aeaweb.org/econlit/jelCodes.php?view=jel</w:t>
      </w:r>
    </w:p>
    <w:p w:rsidR="002E261F" w:rsidRDefault="004D6C0C">
      <w:pPr>
        <w:numPr>
          <w:ilvl w:val="0"/>
          <w:numId w:val="2"/>
        </w:numPr>
        <w:shd w:val="clear" w:color="auto" w:fill="FFFFFF"/>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ARTICLE STRUCTURE:</w:t>
      </w:r>
    </w:p>
    <w:p w:rsidR="002E261F" w:rsidRDefault="004D6C0C">
      <w:pPr>
        <w:shd w:val="clear" w:color="auto" w:fill="FFFFFF"/>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Abstract</w:t>
      </w:r>
      <w:r>
        <w:rPr>
          <w:rFonts w:ascii="Times New Roman" w:eastAsia="Times New Roman" w:hAnsi="Times New Roman" w:cs="Times New Roman"/>
          <w:color w:val="000000"/>
          <w:sz w:val="28"/>
          <w:szCs w:val="28"/>
        </w:rPr>
        <w:t xml:space="preserve"> (in three languages: English, Ukrainian, Russian) - description of the re</w:t>
      </w:r>
      <w:r>
        <w:rPr>
          <w:rFonts w:ascii="Times New Roman" w:eastAsia="Times New Roman" w:hAnsi="Times New Roman" w:cs="Times New Roman"/>
          <w:color w:val="000000"/>
          <w:sz w:val="28"/>
          <w:szCs w:val="28"/>
        </w:rPr>
        <w:t>search object, description of the approach, result obtained, author's interpretation of the result;</w:t>
      </w:r>
    </w:p>
    <w:p w:rsidR="002E261F" w:rsidRDefault="004D6C0C">
      <w:pPr>
        <w:shd w:val="clear" w:color="auto" w:fill="FFFFFF"/>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Keywords;</w:t>
      </w:r>
    </w:p>
    <w:p w:rsidR="002E261F" w:rsidRDefault="004D6C0C">
      <w:pPr>
        <w:shd w:val="clear" w:color="auto" w:fill="FFFFFF"/>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Introduction</w:t>
      </w:r>
      <w:r>
        <w:rPr>
          <w:rFonts w:ascii="Times New Roman" w:eastAsia="Times New Roman" w:hAnsi="Times New Roman" w:cs="Times New Roman"/>
          <w:color w:val="000000"/>
          <w:sz w:val="28"/>
          <w:szCs w:val="28"/>
        </w:rPr>
        <w:t xml:space="preserve"> - a description of the problem and relevance of the topic being researched, a literary review and an assessment of the degree of study of the issue;</w:t>
      </w:r>
    </w:p>
    <w:p w:rsidR="002E261F" w:rsidRDefault="004D6C0C">
      <w:pPr>
        <w:shd w:val="clear" w:color="auto" w:fill="FFFFFF"/>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Analysis of recent researches and publications</w:t>
      </w:r>
      <w:r>
        <w:rPr>
          <w:rFonts w:ascii="Times New Roman" w:eastAsia="Times New Roman" w:hAnsi="Times New Roman" w:cs="Times New Roman"/>
          <w:color w:val="000000"/>
          <w:sz w:val="28"/>
          <w:szCs w:val="28"/>
        </w:rPr>
        <w:t>;</w:t>
      </w:r>
    </w:p>
    <w:p w:rsidR="002E261F" w:rsidRDefault="004D6C0C">
      <w:pPr>
        <w:shd w:val="clear" w:color="auto" w:fill="FFFFFF"/>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The purpose and objectives of the study</w:t>
      </w:r>
      <w:r>
        <w:rPr>
          <w:rFonts w:ascii="Times New Roman" w:eastAsia="Times New Roman" w:hAnsi="Times New Roman" w:cs="Times New Roman"/>
          <w:color w:val="000000"/>
          <w:sz w:val="28"/>
          <w:szCs w:val="28"/>
        </w:rPr>
        <w:t>;</w:t>
      </w:r>
    </w:p>
    <w:p w:rsidR="002E261F" w:rsidRDefault="004D6C0C">
      <w:pPr>
        <w:shd w:val="clear" w:color="auto" w:fill="FFFFFF"/>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Basic material and results</w:t>
      </w:r>
      <w:r>
        <w:rPr>
          <w:rFonts w:ascii="Times New Roman" w:eastAsia="Times New Roman" w:hAnsi="Times New Roman" w:cs="Times New Roman"/>
          <w:color w:val="000000"/>
          <w:sz w:val="28"/>
          <w:szCs w:val="28"/>
        </w:rPr>
        <w:t xml:space="preserve"> (presentation of the main research material with full justification of the obtained scientific results);</w:t>
      </w:r>
    </w:p>
    <w:p w:rsidR="002E261F" w:rsidRDefault="004D6C0C">
      <w:pPr>
        <w:shd w:val="clear" w:color="auto" w:fill="FFFFFF"/>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Conclusions</w:t>
      </w:r>
      <w:r>
        <w:rPr>
          <w:rFonts w:ascii="Times New Roman" w:eastAsia="Times New Roman" w:hAnsi="Times New Roman" w:cs="Times New Roman"/>
          <w:color w:val="000000"/>
          <w:sz w:val="28"/>
          <w:szCs w:val="28"/>
        </w:rPr>
        <w:t xml:space="preserve"> - description of the results of the debatable provisions, positive and negative consequences, prospects for fu</w:t>
      </w:r>
      <w:r>
        <w:rPr>
          <w:rFonts w:ascii="Times New Roman" w:eastAsia="Times New Roman" w:hAnsi="Times New Roman" w:cs="Times New Roman"/>
          <w:color w:val="000000"/>
          <w:sz w:val="28"/>
          <w:szCs w:val="28"/>
        </w:rPr>
        <w:t>rther research;</w:t>
      </w:r>
    </w:p>
    <w:p w:rsidR="002E261F" w:rsidRDefault="004D6C0C">
      <w:pPr>
        <w:shd w:val="clear" w:color="auto" w:fill="FFFFFF"/>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List of references</w:t>
      </w:r>
      <w:r>
        <w:rPr>
          <w:rFonts w:ascii="Times New Roman" w:eastAsia="Times New Roman" w:hAnsi="Times New Roman" w:cs="Times New Roman"/>
          <w:color w:val="000000"/>
          <w:sz w:val="28"/>
          <w:szCs w:val="28"/>
        </w:rPr>
        <w:t xml:space="preserve"> - from 10 to 20 sources;</w:t>
      </w:r>
    </w:p>
    <w:p w:rsidR="002E261F" w:rsidRDefault="004D6C0C">
      <w:pPr>
        <w:shd w:val="clear" w:color="auto" w:fill="FFFFFF"/>
        <w:spacing w:after="0" w:line="360" w:lineRule="auto"/>
        <w:ind w:left="720"/>
        <w:rPr>
          <w:color w:val="000000"/>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Authors' information</w:t>
      </w:r>
      <w:r>
        <w:rPr>
          <w:rFonts w:ascii="Times New Roman" w:eastAsia="Times New Roman" w:hAnsi="Times New Roman" w:cs="Times New Roman"/>
          <w:color w:val="000000"/>
          <w:sz w:val="28"/>
          <w:szCs w:val="28"/>
        </w:rPr>
        <w:t xml:space="preserve"> - in three languages: English, Ukrainian, Russian</w:t>
      </w:r>
      <w:r>
        <w:rPr>
          <w:rFonts w:ascii="Times New Roman" w:eastAsia="Times New Roman" w:hAnsi="Times New Roman" w:cs="Times New Roman"/>
          <w:b/>
          <w:color w:val="000000"/>
          <w:sz w:val="28"/>
          <w:szCs w:val="28"/>
        </w:rPr>
        <w:t>(Example 2).</w:t>
      </w:r>
    </w:p>
    <w:p w:rsidR="002E261F" w:rsidRDefault="002E261F">
      <w:pPr>
        <w:pBdr>
          <w:top w:val="nil"/>
          <w:left w:val="nil"/>
          <w:bottom w:val="nil"/>
          <w:right w:val="nil"/>
          <w:between w:val="nil"/>
        </w:pBdr>
        <w:rPr>
          <w:rFonts w:ascii="Times New Roman" w:eastAsia="Times New Roman" w:hAnsi="Times New Roman" w:cs="Times New Roman"/>
          <w:color w:val="000000"/>
          <w:sz w:val="24"/>
          <w:szCs w:val="24"/>
        </w:rPr>
      </w:pPr>
    </w:p>
    <w:p w:rsidR="002E261F" w:rsidRDefault="002E261F">
      <w:pPr>
        <w:pBdr>
          <w:top w:val="nil"/>
          <w:left w:val="nil"/>
          <w:bottom w:val="nil"/>
          <w:right w:val="nil"/>
          <w:between w:val="nil"/>
        </w:pBdr>
        <w:rPr>
          <w:rFonts w:ascii="Times New Roman" w:eastAsia="Times New Roman" w:hAnsi="Times New Roman" w:cs="Times New Roman"/>
          <w:b/>
          <w:i/>
          <w:color w:val="000000"/>
          <w:sz w:val="24"/>
          <w:szCs w:val="24"/>
          <w:u w:val="single"/>
        </w:rPr>
      </w:pPr>
    </w:p>
    <w:p w:rsidR="002E261F" w:rsidRDefault="004D6C0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u w:val="single"/>
        </w:rPr>
        <w:t>Приклад 1</w:t>
      </w:r>
    </w:p>
    <w:p w:rsidR="002E261F" w:rsidRDefault="004D6C0C">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UDC 65.014.1</w:t>
      </w:r>
    </w:p>
    <w:p w:rsidR="002E261F" w:rsidRDefault="004D6C0C">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JEL Classification Code: С51, F 15, L11, </w:t>
      </w:r>
      <w:r>
        <w:rPr>
          <w:rFonts w:ascii="Times New Roman" w:eastAsia="Times New Roman" w:hAnsi="Times New Roman" w:cs="Times New Roman"/>
          <w:b/>
          <w:color w:val="000000"/>
          <w:sz w:val="28"/>
          <w:szCs w:val="28"/>
          <w:highlight w:val="white"/>
        </w:rPr>
        <w:t>P47</w:t>
      </w:r>
    </w:p>
    <w:p w:rsidR="002E261F" w:rsidRDefault="002E261F">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2E261F" w:rsidRDefault="004D6C0C">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Volodymir Davydenko</w:t>
      </w:r>
    </w:p>
    <w:p w:rsidR="002E261F" w:rsidRDefault="004D6C0C">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National Aviation University, Kyiv, Ukraine, Associate Professor</w:t>
      </w:r>
    </w:p>
    <w:p w:rsidR="002E261F" w:rsidRDefault="004D6C0C">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ORCID: 0000-0002-8419-4636</w:t>
      </w:r>
    </w:p>
    <w:p w:rsidR="002E261F" w:rsidRDefault="004D6C0C">
      <w:pPr>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ResearcherID: S-7356-2018</w:t>
      </w:r>
    </w:p>
    <w:p w:rsidR="002E261F" w:rsidRDefault="004D6C0C">
      <w:pPr>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Scopus author ID: -</w:t>
      </w:r>
    </w:p>
    <w:p w:rsidR="002E261F" w:rsidRDefault="004D6C0C">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viold@ukr.net</w:t>
      </w:r>
    </w:p>
    <w:p w:rsidR="002E261F" w:rsidRDefault="002E261F">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2E261F" w:rsidRDefault="002E261F">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rPr>
      </w:pPr>
    </w:p>
    <w:p w:rsidR="002E261F" w:rsidRDefault="002E261F">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rPr>
      </w:pPr>
    </w:p>
    <w:p w:rsidR="002E261F" w:rsidRDefault="004D6C0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STRATEGY OF LOGISTICS CONTROLLING SUPPLY CHAINS</w:t>
      </w:r>
    </w:p>
    <w:p w:rsidR="002E261F" w:rsidRDefault="002E26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2E261F" w:rsidRDefault="004D6C0C">
      <w:pPr>
        <w:pBdr>
          <w:top w:val="nil"/>
          <w:left w:val="nil"/>
          <w:bottom w:val="nil"/>
          <w:right w:val="nil"/>
          <w:between w:val="nil"/>
        </w:pBdr>
        <w:tabs>
          <w:tab w:val="left" w:pos="3439"/>
        </w:tabs>
        <w:spacing w:after="0" w:line="240" w:lineRule="auto"/>
        <w:rPr>
          <w:rFonts w:ascii="NewtonC-Italic" w:eastAsia="NewtonC-Italic" w:hAnsi="NewtonC-Italic" w:cs="NewtonC-Italic"/>
          <w:color w:val="000000"/>
          <w:sz w:val="28"/>
          <w:szCs w:val="28"/>
        </w:rPr>
      </w:pPr>
      <w:r>
        <w:rPr>
          <w:rFonts w:ascii="NewtonC-Italic" w:eastAsia="NewtonC-Italic" w:hAnsi="NewtonC-Italic" w:cs="NewtonC-Italic"/>
          <w:color w:val="000000"/>
          <w:sz w:val="28"/>
          <w:szCs w:val="28"/>
        </w:rPr>
        <w:tab/>
      </w:r>
    </w:p>
    <w:p w:rsidR="002E261F" w:rsidRDefault="004D6C0C">
      <w:pPr>
        <w:pBdr>
          <w:top w:val="nil"/>
          <w:left w:val="nil"/>
          <w:bottom w:val="nil"/>
          <w:right w:val="nil"/>
          <w:between w:val="nil"/>
        </w:pBdr>
        <w:tabs>
          <w:tab w:val="left" w:pos="3439"/>
        </w:tabs>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Володимир Давиденко.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«Стратегія логістичного контролінгу ланцюгів постачання». </w:t>
      </w:r>
      <w:r>
        <w:rPr>
          <w:rFonts w:ascii="Times New Roman" w:eastAsia="Times New Roman" w:hAnsi="Times New Roman" w:cs="Times New Roman"/>
          <w:i/>
          <w:color w:val="000000"/>
          <w:sz w:val="24"/>
          <w:szCs w:val="24"/>
        </w:rPr>
        <w:t>У статті викладені теоретичні і практичні аспекти логістичного контролінгу ланцюгів поставок. Розкрито зміст стратегій логістичного контролінгу, ланцюгів поставок в умовах невизначеності зовнішнього</w:t>
      </w:r>
      <w:r>
        <w:rPr>
          <w:rFonts w:ascii="Times New Roman" w:eastAsia="Times New Roman" w:hAnsi="Times New Roman" w:cs="Times New Roman"/>
          <w:i/>
          <w:color w:val="000000"/>
          <w:sz w:val="24"/>
          <w:szCs w:val="24"/>
        </w:rPr>
        <w:t xml:space="preserve"> середовища, створення економічної вартості контролінгу, систем логістичного контролінгу, а також стратегії ланцюгів поставок. Розглянуто функціональні цикли логістики в ланцюгах поставок, особливості визначення та використання систем збалансованих інтегро</w:t>
      </w:r>
      <w:r>
        <w:rPr>
          <w:rFonts w:ascii="Times New Roman" w:eastAsia="Times New Roman" w:hAnsi="Times New Roman" w:cs="Times New Roman"/>
          <w:i/>
          <w:color w:val="000000"/>
          <w:sz w:val="24"/>
          <w:szCs w:val="24"/>
        </w:rPr>
        <w:t>ваних показників, функціональні цикли в ланцюгах поставок, класифікація логістичних операцій, логістичні ризики в ланцюгах поставок. Проведено аналіз базових принципів логістичного контролінгу, стратегічних ризиків у ланцюгах поставок, функціональних показ</w:t>
      </w:r>
      <w:r>
        <w:rPr>
          <w:rFonts w:ascii="Times New Roman" w:eastAsia="Times New Roman" w:hAnsi="Times New Roman" w:cs="Times New Roman"/>
          <w:i/>
          <w:color w:val="000000"/>
          <w:sz w:val="24"/>
          <w:szCs w:val="24"/>
        </w:rPr>
        <w:t>ників і методи їх оцінки, циклічних коливань попиту на продукцію, умови застосування існуючих форм і методів логістичного контролінгу, концепції вибору стратегічних альтернатив, показники рівня логістичної ліквідності в контрольних точках ланцюгів поставок</w:t>
      </w:r>
      <w:r>
        <w:rPr>
          <w:rFonts w:ascii="Times New Roman" w:eastAsia="Times New Roman" w:hAnsi="Times New Roman" w:cs="Times New Roman"/>
          <w:i/>
          <w:color w:val="000000"/>
          <w:sz w:val="24"/>
          <w:szCs w:val="24"/>
        </w:rPr>
        <w:t>. Запропоновано методи аналізу формування логістичної стратегії, інструменти та критерії оцінки ланцюгів поставок, ідентифікатори і збалансовані системи показників ключових напрямків в системі контролінгу, шляхи зниження логістичних витрат, напрями підвище</w:t>
      </w:r>
      <w:r>
        <w:rPr>
          <w:rFonts w:ascii="Times New Roman" w:eastAsia="Times New Roman" w:hAnsi="Times New Roman" w:cs="Times New Roman"/>
          <w:i/>
          <w:color w:val="000000"/>
          <w:sz w:val="24"/>
          <w:szCs w:val="24"/>
        </w:rPr>
        <w:t xml:space="preserve">ння ефективності логістичного контролінгу ланцюгів поставок.   </w:t>
      </w:r>
    </w:p>
    <w:p w:rsidR="002E261F" w:rsidRDefault="004D6C0C">
      <w:pPr>
        <w:pBdr>
          <w:top w:val="nil"/>
          <w:left w:val="nil"/>
          <w:bottom w:val="nil"/>
          <w:right w:val="nil"/>
          <w:between w:val="nil"/>
        </w:pBdr>
        <w:spacing w:after="0" w:line="240" w:lineRule="auto"/>
        <w:rPr>
          <w:rFonts w:ascii="NewtonC-Italic" w:eastAsia="NewtonC-Italic" w:hAnsi="NewtonC-Italic" w:cs="NewtonC-Italic"/>
          <w:i/>
          <w:color w:val="000000"/>
          <w:sz w:val="28"/>
          <w:szCs w:val="28"/>
        </w:rPr>
      </w:pPr>
      <w:r>
        <w:rPr>
          <w:rFonts w:ascii="Times New Roman" w:eastAsia="Times New Roman" w:hAnsi="Times New Roman" w:cs="Times New Roman"/>
          <w:b/>
          <w:i/>
          <w:color w:val="000000"/>
          <w:sz w:val="24"/>
          <w:szCs w:val="24"/>
        </w:rPr>
        <w:tab/>
        <w:t>Ключові слова: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стратегія, контролінг,  логістичний контролінг, ланцюги постачання, вартість контролінгу, цикли логістики, контролінг ланцюгів постачання.</w:t>
      </w:r>
    </w:p>
    <w:p w:rsidR="002E261F" w:rsidRDefault="002E261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8"/>
          <w:szCs w:val="28"/>
          <w:highlight w:val="yellow"/>
        </w:rPr>
      </w:pPr>
    </w:p>
    <w:p w:rsidR="002E261F" w:rsidRDefault="004D6C0C">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b/>
          <w:i/>
          <w:color w:val="000000"/>
          <w:sz w:val="24"/>
          <w:szCs w:val="24"/>
        </w:rPr>
        <w:t>Volodymir Davydenko. «The strategy of logistics controlling supply chains».</w:t>
      </w:r>
      <w:r>
        <w:rPr>
          <w:rFonts w:ascii="Times New Roman" w:eastAsia="Times New Roman" w:hAnsi="Times New Roman" w:cs="Times New Roman"/>
          <w:i/>
          <w:color w:val="000000"/>
          <w:sz w:val="24"/>
          <w:szCs w:val="24"/>
        </w:rPr>
        <w:t xml:space="preserve"> The article outlines the theoretical and practical aspects of logistics controlling supply chains. The contents of the strategies of logistics controlling, supply chains in the fac</w:t>
      </w:r>
      <w:r>
        <w:rPr>
          <w:rFonts w:ascii="Times New Roman" w:eastAsia="Times New Roman" w:hAnsi="Times New Roman" w:cs="Times New Roman"/>
          <w:i/>
          <w:color w:val="000000"/>
          <w:sz w:val="24"/>
          <w:szCs w:val="24"/>
        </w:rPr>
        <w:t>e of uncertainty of the external environment, the creation of the economic value of controlling, systems of logistics controlling, as well as strategies of supply chains are disclosed. The functional cycles of logistics in the supply chains, the features o</w:t>
      </w:r>
      <w:r>
        <w:rPr>
          <w:rFonts w:ascii="Times New Roman" w:eastAsia="Times New Roman" w:hAnsi="Times New Roman" w:cs="Times New Roman"/>
          <w:i/>
          <w:color w:val="000000"/>
          <w:sz w:val="24"/>
          <w:szCs w:val="24"/>
        </w:rPr>
        <w:t xml:space="preserve">f determining and using systems of balanced integrated indicators, the functional cycles in the supply chains, the classification of logistics operations, and the logistics risks in the supply chains are considered. The analysis of the basic principles of </w:t>
      </w:r>
      <w:r>
        <w:rPr>
          <w:rFonts w:ascii="Times New Roman" w:eastAsia="Times New Roman" w:hAnsi="Times New Roman" w:cs="Times New Roman"/>
          <w:i/>
          <w:color w:val="000000"/>
          <w:sz w:val="24"/>
          <w:szCs w:val="24"/>
        </w:rPr>
        <w:t xml:space="preserve">logistics </w:t>
      </w:r>
      <w:r>
        <w:rPr>
          <w:rFonts w:ascii="Times New Roman" w:eastAsia="Times New Roman" w:hAnsi="Times New Roman" w:cs="Times New Roman"/>
          <w:i/>
          <w:color w:val="000000"/>
          <w:sz w:val="24"/>
          <w:szCs w:val="24"/>
        </w:rPr>
        <w:lastRenderedPageBreak/>
        <w:t xml:space="preserve">controlling, strategic risks in the supply chains, functional indicators and methods for assessing them, cyclical fluctuations in demand for products, the conditions for the application of existing forms and methods of logistics controlling, the </w:t>
      </w:r>
      <w:r>
        <w:rPr>
          <w:rFonts w:ascii="Times New Roman" w:eastAsia="Times New Roman" w:hAnsi="Times New Roman" w:cs="Times New Roman"/>
          <w:i/>
          <w:color w:val="000000"/>
          <w:sz w:val="24"/>
          <w:szCs w:val="24"/>
        </w:rPr>
        <w:t>concept of choosing strategic alternatives, indicators of the level of logistic liquidity at control points of supply chains. Methods for analyzing the formation of a logistics strategy, tools and criteria for evaluating supply chains, identifiers and bala</w:t>
      </w:r>
      <w:r>
        <w:rPr>
          <w:rFonts w:ascii="Times New Roman" w:eastAsia="Times New Roman" w:hAnsi="Times New Roman" w:cs="Times New Roman"/>
          <w:i/>
          <w:color w:val="000000"/>
          <w:sz w:val="24"/>
          <w:szCs w:val="24"/>
        </w:rPr>
        <w:t>nced scorecards for key areas in the controlling system, ways to reduce logistics costs, and ways to increase the efficiency of logistics controlling of supply chains are proposed.</w:t>
      </w:r>
    </w:p>
    <w:p w:rsidR="002E261F" w:rsidRDefault="004D6C0C">
      <w:pPr>
        <w:pBdr>
          <w:top w:val="nil"/>
          <w:left w:val="nil"/>
          <w:bottom w:val="nil"/>
          <w:right w:val="nil"/>
          <w:between w:val="nil"/>
        </w:pBdr>
        <w:spacing w:after="0" w:line="240" w:lineRule="auto"/>
        <w:ind w:firstLine="567"/>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Keywords: strategy, controlling, logistics controlling, supply chains, cost</w:t>
      </w:r>
      <w:r>
        <w:rPr>
          <w:rFonts w:ascii="Times New Roman" w:eastAsia="Times New Roman" w:hAnsi="Times New Roman" w:cs="Times New Roman"/>
          <w:b/>
          <w:i/>
          <w:color w:val="000000"/>
          <w:sz w:val="24"/>
          <w:szCs w:val="24"/>
        </w:rPr>
        <w:t xml:space="preserve"> of controlling, logistics cycles, controlling of supply chains.</w:t>
      </w:r>
    </w:p>
    <w:p w:rsidR="002E261F" w:rsidRDefault="002E261F">
      <w:pPr>
        <w:pBdr>
          <w:top w:val="nil"/>
          <w:left w:val="nil"/>
          <w:bottom w:val="nil"/>
          <w:right w:val="nil"/>
          <w:between w:val="nil"/>
        </w:pBdr>
        <w:spacing w:after="0" w:line="240" w:lineRule="auto"/>
        <w:ind w:firstLine="567"/>
        <w:jc w:val="both"/>
        <w:rPr>
          <w:rFonts w:ascii="Times New Roman" w:eastAsia="Times New Roman" w:hAnsi="Times New Roman" w:cs="Times New Roman"/>
          <w:b/>
          <w:i/>
          <w:color w:val="000000"/>
          <w:sz w:val="28"/>
          <w:szCs w:val="28"/>
        </w:rPr>
      </w:pPr>
    </w:p>
    <w:p w:rsidR="002E261F" w:rsidRDefault="004D6C0C">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Владимир Давиденко. «Стратегия логистического контроллинга цепей поставок». </w:t>
      </w:r>
      <w:r>
        <w:rPr>
          <w:rFonts w:ascii="Times New Roman" w:eastAsia="Times New Roman" w:hAnsi="Times New Roman" w:cs="Times New Roman"/>
          <w:i/>
          <w:color w:val="000000"/>
          <w:sz w:val="24"/>
          <w:szCs w:val="24"/>
        </w:rPr>
        <w:t>В статье изложены теоретические и практические аспекты логистического контроллинга цепей поставок. Раскрыто содерж</w:t>
      </w:r>
      <w:r>
        <w:rPr>
          <w:rFonts w:ascii="Times New Roman" w:eastAsia="Times New Roman" w:hAnsi="Times New Roman" w:cs="Times New Roman"/>
          <w:i/>
          <w:color w:val="000000"/>
          <w:sz w:val="24"/>
          <w:szCs w:val="24"/>
        </w:rPr>
        <w:t>ание стратегий логистического контроллинга, цепей поставок в условиях неопределенности внешней среды, создание экономической стоимости контроллинга, систем логистического контроллинга, а также стратегии цепей поставок. Рассмотрены функциональные циклы логи</w:t>
      </w:r>
      <w:r>
        <w:rPr>
          <w:rFonts w:ascii="Times New Roman" w:eastAsia="Times New Roman" w:hAnsi="Times New Roman" w:cs="Times New Roman"/>
          <w:i/>
          <w:color w:val="000000"/>
          <w:sz w:val="24"/>
          <w:szCs w:val="24"/>
        </w:rPr>
        <w:t xml:space="preserve">стики в цепях поставок, особенности определения и использования систем сбалансированных интегрированных показателей, функциональные циклы в цепях поставок, классификация логистических операций, логистические риски в цепях поставок. Проведен анализ базовых </w:t>
      </w:r>
      <w:r>
        <w:rPr>
          <w:rFonts w:ascii="Times New Roman" w:eastAsia="Times New Roman" w:hAnsi="Times New Roman" w:cs="Times New Roman"/>
          <w:i/>
          <w:color w:val="000000"/>
          <w:sz w:val="24"/>
          <w:szCs w:val="24"/>
        </w:rPr>
        <w:t>принципов логистического контроллинга, стратегических рисков в цепях поставок, функциональных показателей и методы их оценки, циклических колебаний спроса на продукцию, условия применения существующих форм и методов логистического контроллинга, концепции в</w:t>
      </w:r>
      <w:r>
        <w:rPr>
          <w:rFonts w:ascii="Times New Roman" w:eastAsia="Times New Roman" w:hAnsi="Times New Roman" w:cs="Times New Roman"/>
          <w:i/>
          <w:color w:val="000000"/>
          <w:sz w:val="24"/>
          <w:szCs w:val="24"/>
        </w:rPr>
        <w:t>ыбора стратегических альтернатив, показатели уровня логистической ликвидности в контрольных точках цепей поставок. Предложены методы анализа формирования логистической стратегии, инструменты и критерии оценки цепей поставок, идентификаторы и сбалансированн</w:t>
      </w:r>
      <w:r>
        <w:rPr>
          <w:rFonts w:ascii="Times New Roman" w:eastAsia="Times New Roman" w:hAnsi="Times New Roman" w:cs="Times New Roman"/>
          <w:i/>
          <w:color w:val="000000"/>
          <w:sz w:val="24"/>
          <w:szCs w:val="24"/>
        </w:rPr>
        <w:t>ые системы показателей ключевых направлений в системе контроллинга, пути снижения логистических затрат, направления повышения эффективности логистического контроллинга цепей поставок.</w:t>
      </w:r>
    </w:p>
    <w:p w:rsidR="002E261F" w:rsidRDefault="004D6C0C">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Ключевые слова: стратегия, контроллинг, логистический контроллинг, цепи </w:t>
      </w:r>
      <w:r>
        <w:rPr>
          <w:rFonts w:ascii="Times New Roman" w:eastAsia="Times New Roman" w:hAnsi="Times New Roman" w:cs="Times New Roman"/>
          <w:b/>
          <w:i/>
          <w:color w:val="000000"/>
          <w:sz w:val="24"/>
          <w:szCs w:val="24"/>
        </w:rPr>
        <w:t>поставок, стоимость контроллинга, циклы логистики, контроллинг цепей поставок.</w:t>
      </w:r>
    </w:p>
    <w:p w:rsidR="002E261F" w:rsidRDefault="002E26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2E261F" w:rsidRDefault="002E261F">
      <w:pPr>
        <w:pBdr>
          <w:top w:val="nil"/>
          <w:left w:val="nil"/>
          <w:bottom w:val="nil"/>
          <w:right w:val="nil"/>
          <w:between w:val="nil"/>
        </w:pBdr>
        <w:spacing w:after="0" w:line="240" w:lineRule="auto"/>
        <w:ind w:firstLine="567"/>
        <w:jc w:val="both"/>
        <w:rPr>
          <w:rFonts w:ascii="Times New Roman" w:eastAsia="Times New Roman" w:hAnsi="Times New Roman" w:cs="Times New Roman"/>
          <w:b/>
          <w:i/>
          <w:color w:val="000000"/>
          <w:sz w:val="24"/>
          <w:szCs w:val="24"/>
        </w:rPr>
      </w:pPr>
    </w:p>
    <w:p w:rsidR="002E261F" w:rsidRDefault="002E261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E261F" w:rsidRDefault="004D6C0C">
      <w:pPr>
        <w:pBdr>
          <w:top w:val="nil"/>
          <w:left w:val="nil"/>
          <w:bottom w:val="nil"/>
          <w:right w:val="nil"/>
          <w:between w:val="nil"/>
        </w:pBdr>
        <w:spacing w:after="0" w:line="240" w:lineRule="auto"/>
        <w:ind w:firstLine="708"/>
        <w:jc w:val="both"/>
        <w:rPr>
          <w:color w:val="000000"/>
          <w:sz w:val="28"/>
          <w:szCs w:val="28"/>
        </w:rPr>
      </w:pPr>
      <w:r>
        <w:rPr>
          <w:rFonts w:ascii="Times New Roman" w:eastAsia="Times New Roman" w:hAnsi="Times New Roman" w:cs="Times New Roman"/>
          <w:b/>
          <w:color w:val="000000"/>
          <w:sz w:val="28"/>
          <w:szCs w:val="28"/>
        </w:rPr>
        <w:t>Introduction.</w:t>
      </w:r>
      <w:r>
        <w:rPr>
          <w:rFonts w:ascii="Times New Roman" w:eastAsia="Times New Roman" w:hAnsi="Times New Roman" w:cs="Times New Roman"/>
          <w:color w:val="000000"/>
          <w:sz w:val="28"/>
          <w:szCs w:val="28"/>
        </w:rPr>
        <w:t xml:space="preserve"> Transformational development of the global economy in the context of globalization, has exacerbated the negative impact on the domestic sector of the economy and increased the risks of entrepreneurial activity. Numerous risks in today's environment, affec</w:t>
      </w:r>
      <w:r>
        <w:rPr>
          <w:rFonts w:ascii="Times New Roman" w:eastAsia="Times New Roman" w:hAnsi="Times New Roman" w:cs="Times New Roman"/>
          <w:color w:val="000000"/>
          <w:sz w:val="28"/>
          <w:szCs w:val="28"/>
        </w:rPr>
        <w:t>ting each other, cause even greater losses, reduce the efficiency and competitiveness of business structures. The multidimensionality of risks complicates their forecasting, adequate assessment and development of effective management methods ...</w:t>
      </w:r>
    </w:p>
    <w:p w:rsidR="002E261F" w:rsidRDefault="002E261F">
      <w:pPr>
        <w:pBdr>
          <w:top w:val="nil"/>
          <w:left w:val="nil"/>
          <w:bottom w:val="nil"/>
          <w:right w:val="nil"/>
          <w:between w:val="nil"/>
        </w:pBdr>
        <w:rPr>
          <w:color w:val="000000"/>
        </w:rPr>
      </w:pPr>
    </w:p>
    <w:p w:rsidR="002E261F" w:rsidRDefault="004D6C0C">
      <w:pPr>
        <w:pBdr>
          <w:top w:val="nil"/>
          <w:left w:val="nil"/>
          <w:bottom w:val="nil"/>
          <w:right w:val="nil"/>
          <w:between w:val="nil"/>
        </w:pBdr>
        <w:rPr>
          <w:color w:val="000000"/>
        </w:rPr>
      </w:pPr>
      <w:r>
        <w:rPr>
          <w:color w:val="000000"/>
        </w:rPr>
        <w:t>…</w:t>
      </w:r>
    </w:p>
    <w:p w:rsidR="002E261F" w:rsidRDefault="004D6C0C">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Table 2. Comparison of functional cycles of distribution and supply logistics</w:t>
      </w:r>
    </w:p>
    <w:tbl>
      <w:tblPr>
        <w:tblStyle w:val="a8"/>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2565"/>
        <w:gridCol w:w="2363"/>
      </w:tblGrid>
      <w:tr w:rsidR="002E261F">
        <w:trPr>
          <w:trHeight w:val="390"/>
        </w:trPr>
        <w:tc>
          <w:tcPr>
            <w:tcW w:w="4927" w:type="dxa"/>
            <w:vMerge w:val="restart"/>
          </w:tcPr>
          <w:p w:rsidR="002E261F" w:rsidRDefault="004D6C0C">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 of comparison</w:t>
            </w:r>
          </w:p>
        </w:tc>
        <w:tc>
          <w:tcPr>
            <w:tcW w:w="4928" w:type="dxa"/>
            <w:gridSpan w:val="2"/>
          </w:tcPr>
          <w:p w:rsidR="002E261F" w:rsidRDefault="004D6C0C">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Characteristics of functional logistical cycles </w:t>
            </w:r>
          </w:p>
        </w:tc>
      </w:tr>
      <w:tr w:rsidR="002E261F">
        <w:trPr>
          <w:trHeight w:val="165"/>
        </w:trPr>
        <w:tc>
          <w:tcPr>
            <w:tcW w:w="4927" w:type="dxa"/>
            <w:vMerge/>
          </w:tcPr>
          <w:p w:rsidR="002E261F" w:rsidRDefault="002E261F">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2565" w:type="dxa"/>
          </w:tcPr>
          <w:p w:rsidR="002E261F" w:rsidRDefault="004D6C0C">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Distribution</w:t>
            </w:r>
          </w:p>
        </w:tc>
        <w:tc>
          <w:tcPr>
            <w:tcW w:w="2363" w:type="dxa"/>
          </w:tcPr>
          <w:p w:rsidR="002E261F" w:rsidRDefault="004D6C0C">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Supply</w:t>
            </w:r>
          </w:p>
        </w:tc>
      </w:tr>
      <w:tr w:rsidR="002E261F">
        <w:tc>
          <w:tcPr>
            <w:tcW w:w="4927"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Delivery time</w:t>
            </w:r>
          </w:p>
        </w:tc>
        <w:tc>
          <w:tcPr>
            <w:tcW w:w="2565"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short-term</w:t>
            </w:r>
          </w:p>
        </w:tc>
        <w:tc>
          <w:tcPr>
            <w:tcW w:w="2363"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long-term</w:t>
            </w:r>
          </w:p>
        </w:tc>
      </w:tr>
      <w:tr w:rsidR="002E261F">
        <w:tc>
          <w:tcPr>
            <w:tcW w:w="4927"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Size of delivery</w:t>
            </w:r>
          </w:p>
        </w:tc>
        <w:tc>
          <w:tcPr>
            <w:tcW w:w="2565"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batches</w:t>
            </w:r>
          </w:p>
        </w:tc>
        <w:tc>
          <w:tcPr>
            <w:tcW w:w="2363"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big batches</w:t>
            </w:r>
          </w:p>
        </w:tc>
      </w:tr>
      <w:tr w:rsidR="002E261F">
        <w:tc>
          <w:tcPr>
            <w:tcW w:w="4927"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of goods</w:t>
            </w:r>
          </w:p>
        </w:tc>
        <w:tc>
          <w:tcPr>
            <w:tcW w:w="2565"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w:t>
            </w:r>
          </w:p>
        </w:tc>
        <w:tc>
          <w:tcPr>
            <w:tcW w:w="2363"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r w:rsidR="002E261F">
        <w:tc>
          <w:tcPr>
            <w:tcW w:w="4927"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Cycle configuration</w:t>
            </w:r>
          </w:p>
        </w:tc>
        <w:tc>
          <w:tcPr>
            <w:tcW w:w="2565"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complicated</w:t>
            </w:r>
          </w:p>
        </w:tc>
        <w:tc>
          <w:tcPr>
            <w:tcW w:w="2363"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simple</w:t>
            </w:r>
          </w:p>
        </w:tc>
      </w:tr>
      <w:tr w:rsidR="002E261F">
        <w:tc>
          <w:tcPr>
            <w:tcW w:w="4927"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beginning of the cycle in response to</w:t>
            </w:r>
          </w:p>
        </w:tc>
        <w:tc>
          <w:tcPr>
            <w:tcW w:w="2565"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buyer</w:t>
            </w:r>
          </w:p>
        </w:tc>
        <w:tc>
          <w:tcPr>
            <w:tcW w:w="2363"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vendor</w:t>
            </w:r>
          </w:p>
        </w:tc>
      </w:tr>
    </w:tbl>
    <w:p w:rsidR="002E261F" w:rsidRDefault="004D6C0C">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Source: [10].</w:t>
      </w:r>
    </w:p>
    <w:p w:rsidR="002E261F" w:rsidRDefault="002E261F">
      <w:pPr>
        <w:pBdr>
          <w:top w:val="nil"/>
          <w:left w:val="nil"/>
          <w:bottom w:val="nil"/>
          <w:right w:val="nil"/>
          <w:between w:val="nil"/>
        </w:pBdr>
        <w:spacing w:after="0"/>
        <w:rPr>
          <w:rFonts w:ascii="Times New Roman" w:eastAsia="Times New Roman" w:hAnsi="Times New Roman" w:cs="Times New Roman"/>
          <w:color w:val="000000"/>
          <w:sz w:val="28"/>
          <w:szCs w:val="28"/>
        </w:rPr>
      </w:pPr>
    </w:p>
    <w:p w:rsidR="002E261F" w:rsidRDefault="004D6C0C">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optimal size of the production batch Q</w:t>
      </w:r>
      <w:r>
        <w:rPr>
          <w:rFonts w:ascii="Times New Roman" w:eastAsia="Times New Roman" w:hAnsi="Times New Roman" w:cs="Times New Roman"/>
          <w:color w:val="000000"/>
          <w:sz w:val="28"/>
          <w:szCs w:val="28"/>
          <w:vertAlign w:val="subscript"/>
        </w:rPr>
        <w:t>opt</w:t>
      </w:r>
      <w:r>
        <w:rPr>
          <w:rFonts w:ascii="Times New Roman" w:eastAsia="Times New Roman" w:hAnsi="Times New Roman" w:cs="Times New Roman"/>
          <w:color w:val="000000"/>
          <w:sz w:val="28"/>
          <w:szCs w:val="28"/>
        </w:rPr>
        <w:t xml:space="preserve"> is achieved when storage cost and costs for restart of production are equal and can be calculated by the formula:</w:t>
      </w:r>
    </w:p>
    <w:p w:rsidR="002E261F" w:rsidRDefault="004D6C0C">
      <w:pPr>
        <w:pBdr>
          <w:top w:val="nil"/>
          <w:left w:val="nil"/>
          <w:bottom w:val="nil"/>
          <w:right w:val="nil"/>
          <w:between w:val="nil"/>
        </w:pBdr>
        <w:spacing w:after="0"/>
        <w:jc w:val="right"/>
        <w:rPr>
          <w:rFonts w:ascii="Times New Roman" w:eastAsia="Times New Roman" w:hAnsi="Times New Roman" w:cs="Times New Roman"/>
          <w:color w:val="000000"/>
          <w:sz w:val="28"/>
          <w:szCs w:val="28"/>
        </w:rPr>
      </w:pPr>
      <w:r>
        <w:rPr>
          <w:noProof/>
          <w:color w:val="000000"/>
          <w:lang w:val="ru-RU"/>
        </w:rPr>
        <w:drawing>
          <wp:inline distT="0" distB="0" distL="0" distR="0">
            <wp:extent cx="1536065" cy="5619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36065" cy="561975"/>
                    </a:xfrm>
                    <a:prstGeom prst="rect">
                      <a:avLst/>
                    </a:prstGeom>
                    <a:ln/>
                  </pic:spPr>
                </pic:pic>
              </a:graphicData>
            </a:graphic>
          </wp:inline>
        </w:drawing>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(2)</w:t>
      </w:r>
    </w:p>
    <w:p w:rsidR="002E261F" w:rsidRDefault="002E261F">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rsidR="002E261F" w:rsidRDefault="004D6C0C">
      <w:pPr>
        <w:pBdr>
          <w:top w:val="nil"/>
          <w:left w:val="nil"/>
          <w:bottom w:val="nil"/>
          <w:right w:val="nil"/>
          <w:between w:val="nil"/>
        </w:pBdr>
        <w:spacing w:after="0"/>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where Р - level of production (number of units, which are produced during reporting period);</w:t>
      </w:r>
    </w:p>
    <w:p w:rsidR="002E261F" w:rsidRDefault="004D6C0C">
      <w:pPr>
        <w:pBdr>
          <w:top w:val="nil"/>
          <w:left w:val="nil"/>
          <w:bottom w:val="nil"/>
          <w:right w:val="nil"/>
          <w:between w:val="nil"/>
        </w:pBdr>
        <w:spacing w:after="0"/>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 demand on produced goods </w:t>
      </w:r>
    </w:p>
    <w:p w:rsidR="002E261F" w:rsidRDefault="004D6C0C">
      <w:r>
        <w:rPr>
          <w:noProof/>
          <w:lang w:val="ru-RU"/>
        </w:rPr>
        <w:drawing>
          <wp:inline distT="0" distB="0" distL="0" distR="0">
            <wp:extent cx="5581193" cy="3153171"/>
            <wp:effectExtent l="0" t="0" r="0" b="0"/>
            <wp:docPr id="4" name="image2.png" descr="File:Catena-del-valore-di-Porter.svg"/>
            <wp:cNvGraphicFramePr/>
            <a:graphic xmlns:a="http://schemas.openxmlformats.org/drawingml/2006/main">
              <a:graphicData uri="http://schemas.openxmlformats.org/drawingml/2006/picture">
                <pic:pic xmlns:pic="http://schemas.openxmlformats.org/drawingml/2006/picture">
                  <pic:nvPicPr>
                    <pic:cNvPr id="0" name="image2.png" descr="File:Catena-del-valore-di-Porter.svg"/>
                    <pic:cNvPicPr preferRelativeResize="0"/>
                  </pic:nvPicPr>
                  <pic:blipFill>
                    <a:blip r:embed="rId7"/>
                    <a:srcRect/>
                    <a:stretch>
                      <a:fillRect/>
                    </a:stretch>
                  </pic:blipFill>
                  <pic:spPr>
                    <a:xfrm>
                      <a:off x="0" y="0"/>
                      <a:ext cx="5581193" cy="3153171"/>
                    </a:xfrm>
                    <a:prstGeom prst="rect">
                      <a:avLst/>
                    </a:prstGeom>
                    <a:ln/>
                  </pic:spPr>
                </pic:pic>
              </a:graphicData>
            </a:graphic>
          </wp:inline>
        </w:drawing>
      </w:r>
    </w:p>
    <w:p w:rsidR="002E261F" w:rsidRDefault="004D6C0C">
      <w:pPr>
        <w:pBdr>
          <w:top w:val="nil"/>
          <w:left w:val="nil"/>
          <w:bottom w:val="nil"/>
          <w:right w:val="nil"/>
          <w:between w:val="nil"/>
        </w:pBdr>
        <w:spacing w:after="0"/>
        <w:ind w:left="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Fig. 2. </w:t>
      </w:r>
      <w:r>
        <w:rPr>
          <w:rFonts w:ascii="Times New Roman" w:eastAsia="Times New Roman" w:hAnsi="Times New Roman" w:cs="Times New Roman"/>
          <w:b/>
          <w:color w:val="000000"/>
          <w:sz w:val="28"/>
          <w:szCs w:val="28"/>
        </w:rPr>
        <w:t>Chain of added value creation</w:t>
      </w:r>
    </w:p>
    <w:p w:rsidR="002E261F" w:rsidRDefault="004D6C0C">
      <w:pPr>
        <w:pBdr>
          <w:top w:val="nil"/>
          <w:left w:val="nil"/>
          <w:bottom w:val="nil"/>
          <w:right w:val="nil"/>
          <w:between w:val="nil"/>
        </w:pBdr>
        <w:spacing w:after="0"/>
        <w:ind w:left="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Source: developed by the authors</w:t>
      </w:r>
    </w:p>
    <w:p w:rsidR="002E261F" w:rsidRDefault="002E261F">
      <w:pPr>
        <w:pBdr>
          <w:top w:val="nil"/>
          <w:left w:val="nil"/>
          <w:bottom w:val="nil"/>
          <w:right w:val="nil"/>
          <w:between w:val="nil"/>
        </w:pBdr>
        <w:spacing w:after="0"/>
        <w:ind w:left="567"/>
        <w:jc w:val="center"/>
        <w:rPr>
          <w:rFonts w:ascii="Times New Roman" w:eastAsia="Times New Roman" w:hAnsi="Times New Roman" w:cs="Times New Roman"/>
          <w:color w:val="000000"/>
          <w:sz w:val="28"/>
          <w:szCs w:val="28"/>
        </w:rPr>
      </w:pPr>
    </w:p>
    <w:p w:rsidR="002E261F" w:rsidRDefault="004D6C0C">
      <w:pPr>
        <w:pBdr>
          <w:top w:val="nil"/>
          <w:left w:val="nil"/>
          <w:bottom w:val="nil"/>
          <w:right w:val="nil"/>
          <w:between w:val="nil"/>
        </w:pBdr>
        <w:spacing w:after="0"/>
        <w:ind w:left="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References</w:t>
      </w:r>
    </w:p>
    <w:p w:rsidR="002E261F" w:rsidRDefault="002E261F">
      <w:pPr>
        <w:pBdr>
          <w:top w:val="nil"/>
          <w:left w:val="nil"/>
          <w:bottom w:val="nil"/>
          <w:right w:val="nil"/>
          <w:between w:val="nil"/>
        </w:pBdr>
        <w:spacing w:after="0"/>
        <w:ind w:left="567"/>
        <w:jc w:val="both"/>
        <w:rPr>
          <w:rFonts w:ascii="Times New Roman" w:eastAsia="Times New Roman" w:hAnsi="Times New Roman" w:cs="Times New Roman"/>
          <w:color w:val="000000"/>
          <w:sz w:val="28"/>
          <w:szCs w:val="28"/>
        </w:rPr>
      </w:pPr>
    </w:p>
    <w:p w:rsidR="004D6C0C" w:rsidRPr="004D6C0C" w:rsidRDefault="004D6C0C" w:rsidP="004D6C0C">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8"/>
          <w:szCs w:val="28"/>
        </w:rPr>
      </w:pPr>
      <w:bookmarkStart w:id="0" w:name="_heading=h.gjdgxs" w:colFirst="0" w:colLast="0"/>
      <w:bookmarkEnd w:id="0"/>
      <w:r w:rsidRPr="004D6C0C">
        <w:rPr>
          <w:rFonts w:ascii="Times New Roman" w:eastAsia="Times New Roman" w:hAnsi="Times New Roman" w:cs="Times New Roman"/>
          <w:color w:val="000000"/>
          <w:sz w:val="28"/>
          <w:szCs w:val="28"/>
        </w:rPr>
        <w:t xml:space="preserve">Gronn, P. (2002), Distributed leadership as a unit of analysis. Leadership Quarterly, 13, </w:t>
      </w:r>
      <w:bookmarkStart w:id="1" w:name="_GoBack"/>
      <w:bookmarkEnd w:id="1"/>
      <w:r w:rsidRPr="004D6C0C">
        <w:rPr>
          <w:rFonts w:ascii="Times New Roman" w:eastAsia="Times New Roman" w:hAnsi="Times New Roman" w:cs="Times New Roman"/>
          <w:color w:val="000000"/>
          <w:sz w:val="28"/>
          <w:szCs w:val="28"/>
        </w:rPr>
        <w:t xml:space="preserve">423-51. </w:t>
      </w:r>
    </w:p>
    <w:p w:rsidR="004D6C0C" w:rsidRPr="004D6C0C" w:rsidRDefault="004D6C0C" w:rsidP="004D6C0C">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sidRPr="004D6C0C">
        <w:rPr>
          <w:rFonts w:ascii="Times New Roman" w:eastAsia="Times New Roman" w:hAnsi="Times New Roman" w:cs="Times New Roman"/>
          <w:color w:val="000000"/>
          <w:sz w:val="28"/>
          <w:szCs w:val="28"/>
        </w:rPr>
        <w:lastRenderedPageBreak/>
        <w:t xml:space="preserve"> </w:t>
      </w:r>
      <w:r w:rsidRPr="004D6C0C">
        <w:rPr>
          <w:rFonts w:ascii="Times New Roman" w:eastAsia="Times New Roman" w:hAnsi="Times New Roman" w:cs="Times New Roman"/>
          <w:color w:val="000000"/>
          <w:sz w:val="28"/>
          <w:szCs w:val="28"/>
        </w:rPr>
        <w:t>Huselid, M.A., Jackson, S.E. and Schuler, R.S. (1997), Technical and strategic human resource management</w:t>
      </w:r>
      <w:r w:rsidRPr="004D6C0C">
        <w:rPr>
          <w:rFonts w:ascii="Times New Roman" w:eastAsia="Times New Roman" w:hAnsi="Times New Roman" w:cs="Times New Roman"/>
          <w:color w:val="000000"/>
          <w:sz w:val="28"/>
          <w:szCs w:val="28"/>
        </w:rPr>
        <w:t xml:space="preserve"> </w:t>
      </w:r>
      <w:r w:rsidRPr="004D6C0C">
        <w:rPr>
          <w:rFonts w:ascii="Times New Roman" w:eastAsia="Times New Roman" w:hAnsi="Times New Roman" w:cs="Times New Roman"/>
          <w:color w:val="000000"/>
          <w:sz w:val="28"/>
          <w:szCs w:val="28"/>
        </w:rPr>
        <w:t>effectiveness as determinants of firm performance, Academy of Management Journal, Vol.40 No.1,</w:t>
      </w:r>
      <w:r w:rsidRPr="004D6C0C">
        <w:rPr>
          <w:rFonts w:ascii="Times New Roman" w:eastAsia="Times New Roman" w:hAnsi="Times New Roman" w:cs="Times New Roman"/>
          <w:color w:val="000000"/>
          <w:sz w:val="28"/>
          <w:szCs w:val="28"/>
        </w:rPr>
        <w:t xml:space="preserve"> </w:t>
      </w:r>
      <w:r w:rsidRPr="004D6C0C">
        <w:rPr>
          <w:rFonts w:ascii="Times New Roman" w:eastAsia="Times New Roman" w:hAnsi="Times New Roman" w:cs="Times New Roman"/>
          <w:color w:val="000000"/>
          <w:sz w:val="28"/>
          <w:szCs w:val="28"/>
        </w:rPr>
        <w:t>pp.171-188.</w:t>
      </w:r>
    </w:p>
    <w:p w:rsidR="004D6C0C" w:rsidRPr="004D6C0C" w:rsidRDefault="004D6C0C" w:rsidP="004D6C0C">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sidRPr="004D6C0C">
        <w:rPr>
          <w:rFonts w:ascii="Times New Roman" w:eastAsia="Times New Roman" w:hAnsi="Times New Roman" w:cs="Times New Roman"/>
          <w:color w:val="000000"/>
          <w:sz w:val="28"/>
          <w:szCs w:val="28"/>
        </w:rPr>
        <w:t>McKinsey Global Institute. (2017), A future that works: Automation, employment and productivity.</w:t>
      </w:r>
      <w:r w:rsidRPr="004D6C0C">
        <w:rPr>
          <w:rFonts w:ascii="Times New Roman" w:eastAsia="Times New Roman" w:hAnsi="Times New Roman" w:cs="Times New Roman"/>
          <w:color w:val="000000"/>
          <w:sz w:val="28"/>
          <w:szCs w:val="28"/>
          <w:lang w:val="en-US"/>
        </w:rPr>
        <w:t xml:space="preserve"> </w:t>
      </w:r>
      <w:r w:rsidRPr="004D6C0C">
        <w:rPr>
          <w:rFonts w:ascii="Times New Roman" w:eastAsia="Times New Roman" w:hAnsi="Times New Roman" w:cs="Times New Roman"/>
          <w:color w:val="000000"/>
          <w:sz w:val="28"/>
          <w:szCs w:val="28"/>
        </w:rPr>
        <w:t>Available at www.mckinsey.com/global-themes/digital-disruption/harnessing-automation-for-a-futurethat-works (accessed 09.10.2017).</w:t>
      </w:r>
    </w:p>
    <w:p w:rsidR="002E261F" w:rsidRDefault="004D6C0C" w:rsidP="004D6C0C">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2E261F" w:rsidRDefault="002E261F" w:rsidP="004D6C0C">
      <w:pPr>
        <w:pBdr>
          <w:top w:val="nil"/>
          <w:left w:val="nil"/>
          <w:bottom w:val="nil"/>
          <w:right w:val="nil"/>
          <w:between w:val="nil"/>
        </w:pBdr>
        <w:spacing w:after="120"/>
        <w:rPr>
          <w:color w:val="000000"/>
        </w:rPr>
      </w:pPr>
    </w:p>
    <w:p w:rsidR="002E261F" w:rsidRDefault="004D6C0C">
      <w:pPr>
        <w:pBdr>
          <w:top w:val="nil"/>
          <w:left w:val="nil"/>
          <w:bottom w:val="nil"/>
          <w:right w:val="nil"/>
          <w:between w:val="nil"/>
        </w:pBdr>
      </w:pPr>
      <w:r>
        <w:br w:type="page"/>
      </w:r>
    </w:p>
    <w:p w:rsidR="002E261F" w:rsidRDefault="004D6C0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u w:val="single"/>
        </w:rPr>
        <w:lastRenderedPageBreak/>
        <w:t>Example2</w:t>
      </w:r>
    </w:p>
    <w:p w:rsidR="002E261F" w:rsidRDefault="004D6C0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Questionnaire of the author</w:t>
      </w:r>
    </w:p>
    <w:p w:rsidR="002E261F" w:rsidRDefault="002E26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3061"/>
        <w:gridCol w:w="3061"/>
        <w:gridCol w:w="928"/>
        <w:gridCol w:w="975"/>
        <w:gridCol w:w="1158"/>
      </w:tblGrid>
      <w:tr w:rsidR="002E261F">
        <w:tc>
          <w:tcPr>
            <w:tcW w:w="446" w:type="dxa"/>
          </w:tcPr>
          <w:p w:rsidR="002E261F" w:rsidRDefault="002E26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061"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UKRAINIAN</w:t>
            </w:r>
          </w:p>
        </w:tc>
        <w:tc>
          <w:tcPr>
            <w:tcW w:w="3061"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3061" w:type="dxa"/>
            <w:gridSpan w:val="3"/>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RUSSIAN</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of the article in Ukrainian</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of the article in English</w:t>
            </w:r>
          </w:p>
        </w:tc>
        <w:tc>
          <w:tcPr>
            <w:tcW w:w="3061" w:type="dxa"/>
            <w:gridSpan w:val="3"/>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of the article in Russian</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Surname, name, patronymic of the author in Ukrainian</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Surname, name, patronymic of the author in English</w:t>
            </w:r>
          </w:p>
        </w:tc>
        <w:tc>
          <w:tcPr>
            <w:tcW w:w="3061" w:type="dxa"/>
            <w:gridSpan w:val="3"/>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Surname, name, patronymic of the author in Russian</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degree</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degree</w:t>
            </w:r>
          </w:p>
        </w:tc>
        <w:tc>
          <w:tcPr>
            <w:tcW w:w="3061" w:type="dxa"/>
            <w:gridSpan w:val="3"/>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degree</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rank</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rank</w:t>
            </w:r>
          </w:p>
        </w:tc>
        <w:tc>
          <w:tcPr>
            <w:tcW w:w="3061" w:type="dxa"/>
            <w:gridSpan w:val="3"/>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rank</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 of work or study, position</w:t>
            </w:r>
          </w:p>
        </w:tc>
        <w:tc>
          <w:tcPr>
            <w:tcW w:w="3061" w:type="dxa"/>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 of work or study, position</w:t>
            </w:r>
          </w:p>
        </w:tc>
        <w:tc>
          <w:tcPr>
            <w:tcW w:w="3061" w:type="dxa"/>
            <w:gridSpan w:val="3"/>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 of work or study, position</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p>
        </w:tc>
        <w:tc>
          <w:tcPr>
            <w:tcW w:w="9183" w:type="dxa"/>
            <w:gridSpan w:val="5"/>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ORCID</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p>
        </w:tc>
        <w:tc>
          <w:tcPr>
            <w:tcW w:w="9183" w:type="dxa"/>
            <w:gridSpan w:val="5"/>
          </w:tcPr>
          <w:p w:rsidR="002E261F" w:rsidRDefault="004D6C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Web of Science ResearcherID</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p>
        </w:tc>
        <w:tc>
          <w:tcPr>
            <w:tcW w:w="9183" w:type="dxa"/>
            <w:gridSpan w:val="5"/>
          </w:tcPr>
          <w:p w:rsidR="002E261F" w:rsidRDefault="004D6C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Scopus author ID</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9</w:t>
            </w:r>
          </w:p>
        </w:tc>
        <w:tc>
          <w:tcPr>
            <w:tcW w:w="9183" w:type="dxa"/>
            <w:gridSpan w:val="5"/>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phone</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w:t>
            </w:r>
          </w:p>
        </w:tc>
        <w:tc>
          <w:tcPr>
            <w:tcW w:w="9183" w:type="dxa"/>
            <w:gridSpan w:val="5"/>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11</w:t>
            </w:r>
          </w:p>
        </w:tc>
        <w:tc>
          <w:tcPr>
            <w:tcW w:w="9183" w:type="dxa"/>
            <w:gridSpan w:val="5"/>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Postal address with index and country (for correspondence and delivery of anniversary printed edition)</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7050" w:type="dxa"/>
            <w:gridSpan w:val="3"/>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need a translation of  an article? (paid service)</w:t>
            </w:r>
          </w:p>
        </w:tc>
        <w:tc>
          <w:tcPr>
            <w:tcW w:w="975"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58"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r>
      <w:tr w:rsidR="002E261F">
        <w:tc>
          <w:tcPr>
            <w:tcW w:w="446"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13</w:t>
            </w:r>
          </w:p>
        </w:tc>
        <w:tc>
          <w:tcPr>
            <w:tcW w:w="7050" w:type="dxa"/>
            <w:gridSpan w:val="3"/>
          </w:tcPr>
          <w:p w:rsidR="002E261F" w:rsidRDefault="004D6C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need an article DOI number? (paid service)</w:t>
            </w:r>
          </w:p>
        </w:tc>
        <w:tc>
          <w:tcPr>
            <w:tcW w:w="975"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58" w:type="dxa"/>
          </w:tcPr>
          <w:p w:rsidR="002E261F" w:rsidRDefault="004D6C0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r>
    </w:tbl>
    <w:p w:rsidR="002E261F" w:rsidRDefault="004D6C0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2E261F" w:rsidRDefault="004D6C0C">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rPr>
        <w:t xml:space="preserve"> </w:t>
      </w:r>
      <w:r>
        <w:rPr>
          <w:rFonts w:ascii="Times New Roman" w:eastAsia="Times New Roman" w:hAnsi="Times New Roman" w:cs="Times New Roman"/>
          <w:color w:val="000000"/>
          <w:sz w:val="24"/>
          <w:szCs w:val="24"/>
        </w:rPr>
        <w:t>Professional translation of the article into English - 9 euros per 1 page of text.</w:t>
      </w:r>
    </w:p>
    <w:p w:rsidR="002E261F" w:rsidRDefault="004D6C0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Awarding of DOI number to article -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USD</w:t>
      </w:r>
      <w:r>
        <w:rPr>
          <w:rFonts w:ascii="Times New Roman" w:eastAsia="Times New Roman" w:hAnsi="Times New Roman" w:cs="Times New Roman"/>
          <w:color w:val="000000"/>
          <w:sz w:val="24"/>
          <w:szCs w:val="24"/>
        </w:rPr>
        <w:t>.</w:t>
      </w:r>
    </w:p>
    <w:sectPr w:rsidR="002E261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Italic">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78C2"/>
    <w:multiLevelType w:val="multilevel"/>
    <w:tmpl w:val="EC32FE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FA4323B"/>
    <w:multiLevelType w:val="multilevel"/>
    <w:tmpl w:val="63867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C5A5BEE"/>
    <w:multiLevelType w:val="multilevel"/>
    <w:tmpl w:val="E33E5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331855"/>
    <w:multiLevelType w:val="multilevel"/>
    <w:tmpl w:val="6854D2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1F"/>
    <w:rsid w:val="002E261F"/>
    <w:rsid w:val="004D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5E22"/>
  <w15:docId w15:val="{0CFE3E54-AE99-446D-84B6-D0800B85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rsid w:val="0067516B"/>
    <w:pPr>
      <w:keepNext/>
      <w:keepLines/>
      <w:spacing w:before="200" w:after="0"/>
      <w:outlineLvl w:val="1"/>
    </w:pPr>
    <w:rPr>
      <w:rFonts w:ascii="Cambria" w:eastAsia="Cambria" w:hAnsi="Cambria" w:cs="Cambria"/>
      <w:b/>
      <w:color w:val="4F81BD"/>
      <w:sz w:val="26"/>
      <w:szCs w:val="26"/>
      <w:lang w:eastAsia="en-US"/>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Обычный1"/>
    <w:rsid w:val="00206CA6"/>
  </w:style>
  <w:style w:type="paragraph" w:styleId="a4">
    <w:name w:val="Balloon Text"/>
    <w:basedOn w:val="a"/>
    <w:link w:val="a5"/>
    <w:uiPriority w:val="99"/>
    <w:semiHidden/>
    <w:unhideWhenUsed/>
    <w:rsid w:val="00206C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CA6"/>
    <w:rPr>
      <w:rFonts w:ascii="Tahoma" w:hAnsi="Tahoma" w:cs="Tahoma"/>
      <w:sz w:val="16"/>
      <w:szCs w:val="16"/>
    </w:rPr>
  </w:style>
  <w:style w:type="paragraph" w:styleId="a6">
    <w:name w:val="List Paragraph"/>
    <w:basedOn w:val="a"/>
    <w:uiPriority w:val="34"/>
    <w:qFormat/>
    <w:rsid w:val="00825DB0"/>
    <w:pPr>
      <w:ind w:left="720"/>
      <w:contextualSpacing/>
    </w:pPr>
  </w:style>
  <w:style w:type="character" w:customStyle="1" w:styleId="20">
    <w:name w:val="Заголовок 2 Знак"/>
    <w:basedOn w:val="a0"/>
    <w:link w:val="2"/>
    <w:rsid w:val="0067516B"/>
    <w:rPr>
      <w:rFonts w:ascii="Cambria" w:eastAsia="Cambria" w:hAnsi="Cambria" w:cs="Cambria"/>
      <w:b/>
      <w:color w:val="4F81BD"/>
      <w:sz w:val="26"/>
      <w:szCs w:val="26"/>
      <w:lang w:val="uk-UA" w:eastAsia="en-US"/>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zasTPC/iFOEGIYPlrv2dpFlI0g==">AMUW2mVM/fX/cHOAqannca7WwW9LdHzAG7PfDEOMUqUXvVVsY0nvXQfQc97HgFP2Ed8ZRe+qNn2D8e/dxe2SR029eotelpmi3d6iZmUJ/k8a4v9vIaskOQ9dX7XaSbc1DxwNn3RUb/KG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kim</cp:lastModifiedBy>
  <cp:revision>2</cp:revision>
  <dcterms:created xsi:type="dcterms:W3CDTF">2020-03-13T07:57:00Z</dcterms:created>
  <dcterms:modified xsi:type="dcterms:W3CDTF">2020-09-27T13:24:00Z</dcterms:modified>
</cp:coreProperties>
</file>